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1A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8F74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A07">
        <w:rPr>
          <w:rFonts w:ascii="Times New Roman" w:hAnsi="Times New Roman" w:cs="Times New Roman"/>
          <w:b/>
          <w:sz w:val="24"/>
          <w:szCs w:val="24"/>
        </w:rPr>
        <w:t>2</w:t>
      </w:r>
      <w:r w:rsidR="008F7417">
        <w:rPr>
          <w:rFonts w:ascii="Times New Roman" w:hAnsi="Times New Roman" w:cs="Times New Roman"/>
          <w:b/>
          <w:sz w:val="24"/>
          <w:szCs w:val="24"/>
        </w:rPr>
        <w:t>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b/>
          <w:sz w:val="24"/>
          <w:szCs w:val="24"/>
        </w:rPr>
        <w:t>studenoga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F7417">
        <w:rPr>
          <w:rFonts w:ascii="Times New Roman" w:hAnsi="Times New Roman" w:cs="Times New Roman"/>
          <w:b/>
          <w:sz w:val="24"/>
          <w:szCs w:val="24"/>
        </w:rPr>
        <w:t>4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8F7417">
        <w:rPr>
          <w:rFonts w:ascii="Times New Roman" w:hAnsi="Times New Roman" w:cs="Times New Roman"/>
          <w:sz w:val="24"/>
          <w:szCs w:val="24"/>
        </w:rPr>
        <w:t>21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sz w:val="24"/>
          <w:szCs w:val="24"/>
        </w:rPr>
        <w:t>studenoga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697247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Default="00C3206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31A07"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8F7417" w:rsidRDefault="008F7417" w:rsidP="008F7417">
      <w:pPr>
        <w:spacing w:after="120"/>
        <w:ind w:firstLine="708"/>
        <w:jc w:val="both"/>
      </w:pPr>
      <w:r w:rsidRPr="008F7417">
        <w:rPr>
          <w:rFonts w:ascii="Times New Roman" w:hAnsi="Times New Roman" w:cs="Times New Roman"/>
          <w:b/>
        </w:rPr>
        <w:t>Obvezatne upute za provedbu izbora za predsjednika Republike Hrvatske</w:t>
      </w:r>
    </w:p>
    <w:p w:rsidR="008F7417" w:rsidRPr="005772F8" w:rsidRDefault="008F7417" w:rsidP="005772F8">
      <w:pPr>
        <w:pStyle w:val="ListParagraph"/>
        <w:numPr>
          <w:ilvl w:val="0"/>
          <w:numId w:val="32"/>
        </w:numPr>
        <w:spacing w:after="120"/>
        <w:jc w:val="both"/>
      </w:pPr>
      <w:r w:rsidRPr="005772F8">
        <w:t>Obvezatne upute broj P III – redoslijed izbornih radnji i tijek rokova,</w:t>
      </w:r>
    </w:p>
    <w:p w:rsidR="008F7417" w:rsidRPr="005772F8" w:rsidRDefault="008F7417" w:rsidP="005772F8">
      <w:pPr>
        <w:pStyle w:val="ListParagraph"/>
        <w:numPr>
          <w:ilvl w:val="0"/>
          <w:numId w:val="32"/>
        </w:numPr>
        <w:spacing w:after="120"/>
        <w:jc w:val="both"/>
      </w:pPr>
      <w:r w:rsidRPr="005772F8">
        <w:t>Obvezatne upute broj P IV – postupak kandidiranja,</w:t>
      </w:r>
    </w:p>
    <w:p w:rsidR="008F7417" w:rsidRPr="005772F8" w:rsidRDefault="008F7417" w:rsidP="005772F8">
      <w:pPr>
        <w:pStyle w:val="ListParagraph"/>
        <w:numPr>
          <w:ilvl w:val="0"/>
          <w:numId w:val="32"/>
        </w:numPr>
        <w:spacing w:after="120"/>
        <w:jc w:val="both"/>
      </w:pPr>
      <w:r w:rsidRPr="005772F8">
        <w:t>Obvezatne upute broj P V – obrasci za postupak kandidiranja i za pripremu i provedbu izbora (obrasci OP-2 do OP-15),</w:t>
      </w:r>
    </w:p>
    <w:p w:rsidR="008F7417" w:rsidRPr="005772F8" w:rsidRDefault="008F7417" w:rsidP="005772F8">
      <w:pPr>
        <w:pStyle w:val="ListParagraph"/>
        <w:numPr>
          <w:ilvl w:val="0"/>
          <w:numId w:val="32"/>
        </w:numPr>
        <w:spacing w:after="120"/>
        <w:jc w:val="both"/>
      </w:pPr>
      <w:r w:rsidRPr="005772F8">
        <w:t>Obvezatne upute broj P VI o glasovanju birača na službi u Oružanim snagama Republike Hrvatske, birača članova posada pomorskih i riječnih brodova pod hrvatskom zastavom te na plutajućim objektima u unutrašnjim morskim vodama i teritorijalnom moru Republike Hrvatske, birača lišenih slobode, birača smještenih u ustanovama socijalne skrbi i birača u mirovnim operacijama i misijama,</w:t>
      </w:r>
    </w:p>
    <w:p w:rsidR="008F7417" w:rsidRPr="005772F8" w:rsidRDefault="008F7417" w:rsidP="005772F8">
      <w:pPr>
        <w:pStyle w:val="ListParagraph"/>
        <w:numPr>
          <w:ilvl w:val="0"/>
          <w:numId w:val="32"/>
        </w:numPr>
        <w:spacing w:after="120"/>
        <w:jc w:val="both"/>
      </w:pPr>
      <w:r w:rsidRPr="005772F8">
        <w:t>Obvezatne upute broj P VII o načinu glasovanja birača s tjelesnom manom, nepismenih birača, slijepih birača te birača koji nisu u mogućnosti pristupiti na biračko mjesto,</w:t>
      </w:r>
    </w:p>
    <w:p w:rsidR="008F7417" w:rsidRPr="005772F8" w:rsidRDefault="008F7417" w:rsidP="005772F8">
      <w:pPr>
        <w:pStyle w:val="ListParagraph"/>
        <w:numPr>
          <w:ilvl w:val="0"/>
          <w:numId w:val="32"/>
        </w:numPr>
        <w:spacing w:after="120"/>
        <w:jc w:val="both"/>
      </w:pPr>
      <w:r w:rsidRPr="005772F8">
        <w:t>Obvezatne upute broj P VIII o pravima i dužnostima promatrača i</w:t>
      </w:r>
    </w:p>
    <w:p w:rsidR="008F7417" w:rsidRPr="005772F8" w:rsidRDefault="008F7417" w:rsidP="005772F8">
      <w:pPr>
        <w:pStyle w:val="ListParagraph"/>
        <w:numPr>
          <w:ilvl w:val="0"/>
          <w:numId w:val="32"/>
        </w:numPr>
        <w:spacing w:after="120"/>
        <w:jc w:val="both"/>
      </w:pPr>
      <w:r w:rsidRPr="005772F8">
        <w:t>Obvezatne upute broj P IX o uvjetima u pogledu prostora koji se određuju kao biračka mjesta i načinu uređenja biračkog mjesta.</w:t>
      </w:r>
    </w:p>
    <w:p w:rsidR="008F7417" w:rsidRPr="009C15A3" w:rsidRDefault="008F7417" w:rsidP="008F7417">
      <w:pPr>
        <w:spacing w:after="120"/>
        <w:jc w:val="both"/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4DB7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1E" w:rsidRDefault="008C321E" w:rsidP="007313D3">
      <w:pPr>
        <w:spacing w:after="0" w:line="240" w:lineRule="auto"/>
      </w:pPr>
      <w:r>
        <w:separator/>
      </w:r>
    </w:p>
  </w:endnote>
  <w:endnote w:type="continuationSeparator" w:id="0">
    <w:p w:rsidR="008C321E" w:rsidRDefault="008C321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41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1E" w:rsidRDefault="008C321E" w:rsidP="007313D3">
      <w:pPr>
        <w:spacing w:after="0" w:line="240" w:lineRule="auto"/>
      </w:pPr>
      <w:r>
        <w:separator/>
      </w:r>
    </w:p>
  </w:footnote>
  <w:footnote w:type="continuationSeparator" w:id="0">
    <w:p w:rsidR="008C321E" w:rsidRDefault="008C321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41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6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83F3C"/>
    <w:multiLevelType w:val="hybridMultilevel"/>
    <w:tmpl w:val="3CD2A2BC"/>
    <w:lvl w:ilvl="0" w:tplc="BC9ADEA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C01FB4"/>
    <w:multiLevelType w:val="hybridMultilevel"/>
    <w:tmpl w:val="3F16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6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16"/>
  </w:num>
  <w:num w:numId="8">
    <w:abstractNumId w:val="28"/>
  </w:num>
  <w:num w:numId="9">
    <w:abstractNumId w:val="10"/>
  </w:num>
  <w:num w:numId="10">
    <w:abstractNumId w:val="14"/>
  </w:num>
  <w:num w:numId="11">
    <w:abstractNumId w:val="30"/>
  </w:num>
  <w:num w:numId="12">
    <w:abstractNumId w:val="25"/>
  </w:num>
  <w:num w:numId="13">
    <w:abstractNumId w:val="0"/>
  </w:num>
  <w:num w:numId="14">
    <w:abstractNumId w:val="15"/>
  </w:num>
  <w:num w:numId="15">
    <w:abstractNumId w:val="2"/>
  </w:num>
  <w:num w:numId="16">
    <w:abstractNumId w:val="6"/>
  </w:num>
  <w:num w:numId="17">
    <w:abstractNumId w:val="7"/>
  </w:num>
  <w:num w:numId="18">
    <w:abstractNumId w:val="11"/>
  </w:num>
  <w:num w:numId="19">
    <w:abstractNumId w:val="3"/>
  </w:num>
  <w:num w:numId="20">
    <w:abstractNumId w:val="5"/>
  </w:num>
  <w:num w:numId="21">
    <w:abstractNumId w:val="9"/>
  </w:num>
  <w:num w:numId="22">
    <w:abstractNumId w:val="27"/>
  </w:num>
  <w:num w:numId="23">
    <w:abstractNumId w:val="13"/>
  </w:num>
  <w:num w:numId="24">
    <w:abstractNumId w:val="4"/>
  </w:num>
  <w:num w:numId="25">
    <w:abstractNumId w:val="31"/>
  </w:num>
  <w:num w:numId="26">
    <w:abstractNumId w:val="23"/>
  </w:num>
  <w:num w:numId="27">
    <w:abstractNumId w:val="19"/>
  </w:num>
  <w:num w:numId="28">
    <w:abstractNumId w:val="29"/>
  </w:num>
  <w:num w:numId="29">
    <w:abstractNumId w:val="12"/>
  </w:num>
  <w:num w:numId="30">
    <w:abstractNumId w:val="24"/>
  </w:num>
  <w:num w:numId="31">
    <w:abstractNumId w:val="1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772F8"/>
    <w:rsid w:val="00580FE7"/>
    <w:rsid w:val="00596774"/>
    <w:rsid w:val="00597EC7"/>
    <w:rsid w:val="005C5EA2"/>
    <w:rsid w:val="005D16CE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C321E"/>
    <w:rsid w:val="008F49F2"/>
    <w:rsid w:val="008F7417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9A4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69B96-84C1-4FE3-B0C8-2046E265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2024-11-25T13:10:00Z</cp:lastPrinted>
  <dcterms:created xsi:type="dcterms:W3CDTF">2024-11-25T13:13:00Z</dcterms:created>
  <dcterms:modified xsi:type="dcterms:W3CDTF">2024-11-25T13:13:00Z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